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26" w:rsidRDefault="00215726" w:rsidP="00792A14">
      <w:pPr>
        <w:pStyle w:val="Heading1"/>
        <w:spacing w:before="240"/>
        <w:rPr>
          <w:b w:val="0"/>
          <w:lang w:val="en-GB"/>
        </w:rPr>
      </w:pPr>
      <w:bookmarkStart w:id="0" w:name="_GoBack"/>
      <w:bookmarkEnd w:id="0"/>
      <w:r w:rsidRPr="00792A14">
        <w:rPr>
          <w:b w:val="0"/>
          <w:lang w:val="en-GB"/>
        </w:rPr>
        <w:t>Community Outreach Report</w:t>
      </w:r>
      <w:r w:rsidR="00747B9F" w:rsidRPr="00792A14">
        <w:rPr>
          <w:b w:val="0"/>
          <w:lang w:val="en-GB"/>
        </w:rPr>
        <w:t xml:space="preserve"> Outline</w:t>
      </w:r>
    </w:p>
    <w:p w:rsidR="00792A14" w:rsidRPr="00792A14" w:rsidRDefault="00792A14" w:rsidP="00792A14">
      <w:pPr>
        <w:rPr>
          <w:lang w:val="en-GB"/>
        </w:rPr>
      </w:pPr>
    </w:p>
    <w:tbl>
      <w:tblPr>
        <w:tblW w:w="9299" w:type="dxa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1559"/>
        <w:gridCol w:w="3420"/>
        <w:gridCol w:w="630"/>
        <w:gridCol w:w="3060"/>
        <w:gridCol w:w="630"/>
      </w:tblGrid>
      <w:tr w:rsidR="00215726" w:rsidRPr="005F4F08" w:rsidTr="00797A73">
        <w:trPr>
          <w:trHeight w:val="288"/>
        </w:trPr>
        <w:tc>
          <w:tcPr>
            <w:tcW w:w="5609" w:type="dxa"/>
            <w:gridSpan w:val="3"/>
            <w:tcBorders>
              <w:top w:val="double" w:sz="4" w:space="0" w:color="auto"/>
              <w:bottom w:val="single" w:sz="2" w:space="0" w:color="595959"/>
              <w:right w:val="nil"/>
            </w:tcBorders>
          </w:tcPr>
          <w:p w:rsidR="00215726" w:rsidRPr="005F4F08" w:rsidRDefault="00747B9F" w:rsidP="00747B9F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Community</w:t>
            </w:r>
            <w:r w:rsidR="00215726">
              <w:rPr>
                <w:rFonts w:ascii="Calibri" w:hAnsi="Calibri"/>
                <w:b/>
                <w:sz w:val="18"/>
                <w:szCs w:val="18"/>
                <w:lang w:val="en-GB"/>
              </w:rPr>
              <w:t>/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District</w:t>
            </w:r>
            <w:r w:rsidR="00215726"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Name:</w:t>
            </w:r>
          </w:p>
        </w:tc>
        <w:tc>
          <w:tcPr>
            <w:tcW w:w="3690" w:type="dxa"/>
            <w:gridSpan w:val="2"/>
            <w:tcBorders>
              <w:top w:val="doub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State</w:t>
            </w:r>
            <w:r w:rsidR="00747B9F">
              <w:rPr>
                <w:rFonts w:ascii="Calibri" w:hAnsi="Calibri"/>
                <w:b/>
                <w:bCs/>
                <w:sz w:val="18"/>
                <w:lang w:val="en-GB"/>
              </w:rPr>
              <w:t>/Region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Name:</w:t>
            </w:r>
          </w:p>
        </w:tc>
      </w:tr>
      <w:tr w:rsidR="00215726" w:rsidRPr="005F4F08" w:rsidTr="00797A73">
        <w:trPr>
          <w:trHeight w:val="288"/>
        </w:trPr>
        <w:tc>
          <w:tcPr>
            <w:tcW w:w="5609" w:type="dxa"/>
            <w:gridSpan w:val="3"/>
            <w:tcBorders>
              <w:top w:val="single" w:sz="2" w:space="0" w:color="595959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Reporting Period: </w:t>
            </w:r>
          </w:p>
        </w:tc>
        <w:tc>
          <w:tcPr>
            <w:tcW w:w="369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Date:</w:t>
            </w: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  <w:tcBorders>
              <w:bottom w:val="single" w:sz="4" w:space="0" w:color="auto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Supervisor/Coordinator</w:t>
            </w: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 Name and Position:</w:t>
            </w: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 w:val="restart"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>CATCHMENT AREA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Number of communities in catchment area: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>Number of children under 5: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 xml:space="preserve">Expected number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of children </w:t>
            </w: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>under 5 with SAM:</w:t>
            </w:r>
          </w:p>
        </w:tc>
        <w:tc>
          <w:tcPr>
            <w:tcW w:w="63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 xml:space="preserve">Number of CMAM outpatient sites: 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 xml:space="preserve">Number of CMAM inpatient sites: </w:t>
            </w:r>
          </w:p>
        </w:tc>
        <w:tc>
          <w:tcPr>
            <w:tcW w:w="63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HUMAN RESOURCES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2A731A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2A731A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workers that are MOH staff: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2A731A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2A731A" w:rsidRDefault="00215726" w:rsidP="00797A73">
            <w:pPr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2A731A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volunteers: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TRAININGS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workers  including volunteers trained and active: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representatives oriented: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COMMUNITY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MOBILIZATION</w:t>
            </w: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Number of communities 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>targeted and involved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>y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meetings: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 w:val="restart"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>COMMUNITY OUTREACH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screening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sessions conducted: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Number of children with SAM 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identified and 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referred for treatment: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ab/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home visits for problem cases: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health and nutrition education sessions held: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ab/>
            </w:r>
          </w:p>
        </w:tc>
        <w:tc>
          <w:tcPr>
            <w:tcW w:w="630" w:type="dxa"/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 w:val="restart"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COVERAGE &amp; </w:t>
            </w: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>SERVICE PROGRESS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51908">
              <w:rPr>
                <w:rFonts w:ascii="Calibri" w:hAnsi="Calibri"/>
                <w:sz w:val="18"/>
                <w:szCs w:val="18"/>
                <w:lang w:val="en-GB"/>
              </w:rPr>
              <w:t>Coverage of CMAM: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Barriers to access</w:t>
            </w:r>
            <w:r w:rsidR="00747B9F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and utilization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:</w:t>
            </w:r>
          </w:p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Causes of death: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Reasons for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absentees and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defaulting: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Reasons for non-response to treatment: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Reasons why areas are not covered: 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</w:tcPr>
          <w:p w:rsidR="00215726" w:rsidRPr="005F4F08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Success stories: 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  <w:tcBorders>
              <w:bottom w:val="single" w:sz="2" w:space="0" w:color="595959"/>
            </w:tcBorders>
          </w:tcPr>
          <w:p w:rsidR="00215726" w:rsidRPr="005F4F08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Identified p</w:t>
            </w: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roblems: 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  <w:tcBorders>
              <w:top w:val="single" w:sz="2" w:space="0" w:color="595959"/>
              <w:bottom w:val="double" w:sz="4" w:space="0" w:color="000000"/>
            </w:tcBorders>
          </w:tcPr>
          <w:p w:rsidR="00215726" w:rsidRPr="005F4F08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Planned 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a</w:t>
            </w: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ctivities: </w:t>
            </w:r>
          </w:p>
          <w:p w:rsidR="00215726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215726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215726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="00215726" w:rsidRDefault="00215726" w:rsidP="00215726"/>
    <w:p w:rsidR="00B9291B" w:rsidRDefault="00B9291B"/>
    <w:sectPr w:rsidR="00B9291B" w:rsidSect="006E3490">
      <w:headerReference w:type="first" r:id="rId6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A14" w:rsidRDefault="00792A14" w:rsidP="00792A14">
      <w:r>
        <w:separator/>
      </w:r>
    </w:p>
  </w:endnote>
  <w:endnote w:type="continuationSeparator" w:id="0">
    <w:p w:rsidR="00792A14" w:rsidRDefault="00792A14" w:rsidP="0079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A14" w:rsidRDefault="00792A14" w:rsidP="00792A14">
      <w:r>
        <w:separator/>
      </w:r>
    </w:p>
  </w:footnote>
  <w:footnote w:type="continuationSeparator" w:id="0">
    <w:p w:rsidR="00792A14" w:rsidRDefault="00792A14" w:rsidP="00792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A14" w:rsidRPr="005C6BBB" w:rsidRDefault="005C6BBB" w:rsidP="005C6BBB">
    <w:pPr>
      <w:pStyle w:val="Header"/>
      <w:jc w:val="center"/>
    </w:pPr>
    <w:r>
      <w:rPr>
        <w:rFonts w:ascii="Calibri" w:hAnsi="Calibri"/>
        <w:sz w:val="18"/>
        <w:szCs w:val="18"/>
        <w:shd w:val="clear" w:color="auto" w:fill="FFFFFF"/>
      </w:rPr>
      <w:t>Generic Guidelines and Job Aids for Community-Based Management of Acute Malnutrition (CMAM), November,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26"/>
    <w:rsid w:val="000A7FD0"/>
    <w:rsid w:val="0011190D"/>
    <w:rsid w:val="0015167B"/>
    <w:rsid w:val="001B1F12"/>
    <w:rsid w:val="001F3154"/>
    <w:rsid w:val="001F4F2B"/>
    <w:rsid w:val="00215726"/>
    <w:rsid w:val="00287962"/>
    <w:rsid w:val="0047175E"/>
    <w:rsid w:val="00570C7D"/>
    <w:rsid w:val="005C6BBB"/>
    <w:rsid w:val="005F233B"/>
    <w:rsid w:val="006732FF"/>
    <w:rsid w:val="006E3490"/>
    <w:rsid w:val="00747B9F"/>
    <w:rsid w:val="007549CC"/>
    <w:rsid w:val="007746C4"/>
    <w:rsid w:val="00792A14"/>
    <w:rsid w:val="007F403A"/>
    <w:rsid w:val="00850F46"/>
    <w:rsid w:val="00881659"/>
    <w:rsid w:val="00A11C43"/>
    <w:rsid w:val="00A13648"/>
    <w:rsid w:val="00AA1072"/>
    <w:rsid w:val="00B9291B"/>
    <w:rsid w:val="00BF0514"/>
    <w:rsid w:val="00C260EE"/>
    <w:rsid w:val="00CB37E2"/>
    <w:rsid w:val="00E01E25"/>
    <w:rsid w:val="00E25051"/>
    <w:rsid w:val="00ED252A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5F6447-E457-4737-9550-66DD74BC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72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92A14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2A14"/>
    <w:rPr>
      <w:rFonts w:asciiTheme="minorHAnsi" w:eastAsiaTheme="majorEastAsia" w:hAnsiTheme="minorHAnsi" w:cstheme="majorBidi"/>
      <w:b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792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2A14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92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A14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792A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Outreach Report Outline</dc:title>
  <dc:creator>USAID;FANTA;FHI 360</dc:creator>
  <dc:description>Generic Guidelines and Job Aids for Community-Based Management of Acute Malnutrition (CMAM), November, 2010</dc:description>
  <cp:lastModifiedBy>Gretchen Quiteles</cp:lastModifiedBy>
  <cp:revision>4</cp:revision>
  <dcterms:created xsi:type="dcterms:W3CDTF">2013-03-18T15:23:00Z</dcterms:created>
  <dcterms:modified xsi:type="dcterms:W3CDTF">2015-10-06T14:35:00Z</dcterms:modified>
</cp:coreProperties>
</file>