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035" w:rsidRDefault="007A2035" w:rsidP="00A3514C">
      <w:pPr>
        <w:pStyle w:val="Heading1"/>
        <w:spacing w:before="240"/>
        <w:rPr>
          <w:lang w:val="en-GB"/>
        </w:rPr>
      </w:pPr>
      <w:bookmarkStart w:id="0" w:name="_GoBack"/>
      <w:bookmarkEnd w:id="0"/>
      <w:r w:rsidRPr="00503876">
        <w:rPr>
          <w:lang w:val="en-GB"/>
        </w:rPr>
        <w:t>CMAM Narrative Report</w:t>
      </w:r>
      <w:r w:rsidR="008F7CAB">
        <w:rPr>
          <w:lang w:val="en-GB"/>
        </w:rPr>
        <w:t xml:space="preserve"> Outline</w:t>
      </w:r>
    </w:p>
    <w:p w:rsidR="00A3514C" w:rsidRPr="00A3514C" w:rsidRDefault="00A3514C" w:rsidP="00A3514C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1469"/>
        <w:gridCol w:w="3180"/>
        <w:gridCol w:w="150"/>
        <w:gridCol w:w="720"/>
        <w:gridCol w:w="3060"/>
        <w:gridCol w:w="720"/>
      </w:tblGrid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top w:val="double" w:sz="4" w:space="0" w:color="auto"/>
              <w:bottom w:val="single" w:sz="2" w:space="0" w:color="595959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Author:</w:t>
            </w:r>
          </w:p>
        </w:tc>
      </w:tr>
      <w:tr w:rsidR="007A2035" w:rsidRPr="00503876" w:rsidTr="00797A73">
        <w:trPr>
          <w:trHeight w:val="288"/>
        </w:trPr>
        <w:tc>
          <w:tcPr>
            <w:tcW w:w="4649" w:type="dxa"/>
            <w:gridSpan w:val="2"/>
            <w:tcBorders>
              <w:top w:val="single" w:sz="2" w:space="0" w:color="595959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Reporting Period: </w:t>
            </w:r>
          </w:p>
        </w:tc>
        <w:tc>
          <w:tcPr>
            <w:tcW w:w="4650" w:type="dxa"/>
            <w:gridSpan w:val="4"/>
            <w:tcBorders>
              <w:top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Date:</w:t>
            </w: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Geographic Catchment Area and Population:</w:t>
            </w:r>
          </w:p>
        </w:tc>
      </w:tr>
      <w:tr w:rsidR="007A2035" w:rsidRPr="00503876" w:rsidTr="00797A73">
        <w:trPr>
          <w:trHeight w:val="288"/>
        </w:trPr>
        <w:tc>
          <w:tcPr>
            <w:tcW w:w="4649" w:type="dxa"/>
            <w:gridSpan w:val="2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Number of outpatient care sites:</w:t>
            </w:r>
          </w:p>
        </w:tc>
        <w:tc>
          <w:tcPr>
            <w:tcW w:w="4650" w:type="dxa"/>
            <w:gridSpan w:val="4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Number of inpatient care sites:</w:t>
            </w: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Starting date of CMAM services:</w:t>
            </w: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OUTPUT AND PERFORMANCE INDICATORS CHILDREN 6-59 MONTHS</w:t>
            </w: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Number of </w:t>
            </w: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new admissions</w:t>
            </w: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>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Number of </w:t>
            </w: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children under treatment</w:t>
            </w: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cured: 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died: 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defaulted: 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non-recovered: 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PROGRESS INDICATORS CHILDREN 6-59 MONTHS</w:t>
            </w:r>
          </w:p>
          <w:p w:rsidR="007A2035" w:rsidRPr="00503876" w:rsidRDefault="007A2035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communities involved in community participation and outreach: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trained and active: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33069" w:rsidRPr="00503876" w:rsidTr="0074690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33069" w:rsidRPr="00503876" w:rsidRDefault="00733069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050" w:type="dxa"/>
            <w:gridSpan w:val="3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defaulting:</w:t>
            </w:r>
          </w:p>
        </w:tc>
        <w:tc>
          <w:tcPr>
            <w:tcW w:w="3780" w:type="dxa"/>
            <w:gridSpan w:val="2"/>
            <w:vMerge w:val="restart"/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non-response to treatment:</w:t>
            </w:r>
          </w:p>
        </w:tc>
      </w:tr>
      <w:tr w:rsidR="00733069" w:rsidRPr="00503876" w:rsidTr="0074690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33069" w:rsidRPr="00503876" w:rsidRDefault="00733069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050" w:type="dxa"/>
            <w:gridSpan w:val="3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Length of stay in treatment:</w:t>
            </w:r>
          </w:p>
        </w:tc>
        <w:tc>
          <w:tcPr>
            <w:tcW w:w="3780" w:type="dxa"/>
            <w:gridSpan w:val="2"/>
            <w:vMerge/>
            <w:tcBorders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OUTPUT INDICATORS OTHER AGE GROUPS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admissions infants under 6 months: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discharges  infants under 6 months: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admissions children 5 years and older, adolescents, adults: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discharges children 5 years and older, adolescents, adults: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color w:val="000000"/>
                <w:sz w:val="18"/>
                <w:szCs w:val="18"/>
                <w:lang w:val="en-GB"/>
              </w:rPr>
              <w:t xml:space="preserve">Discussion on performance of sites: 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Contextual information: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bottom w:val="single" w:sz="2" w:space="0" w:color="595959"/>
            </w:tcBorders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Success stories: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top w:val="single" w:sz="2" w:space="0" w:color="595959"/>
              <w:bottom w:val="double" w:sz="4" w:space="0" w:color="000000"/>
            </w:tcBorders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Action plan: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7A2035" w:rsidRPr="00503876" w:rsidRDefault="007A2035" w:rsidP="007A2035">
      <w:pPr>
        <w:rPr>
          <w:rFonts w:ascii="Calibri" w:hAnsi="Calibri"/>
          <w:lang w:val="en-GB"/>
        </w:rPr>
      </w:pPr>
    </w:p>
    <w:p w:rsidR="007A2035" w:rsidRPr="00503876" w:rsidRDefault="007A2035" w:rsidP="007A2035">
      <w:pPr>
        <w:rPr>
          <w:rFonts w:ascii="Calibri" w:hAnsi="Calibri"/>
          <w:b/>
          <w:sz w:val="18"/>
          <w:szCs w:val="18"/>
          <w:lang w:val="en-GB"/>
        </w:rPr>
      </w:pPr>
      <w:r w:rsidRPr="00503876">
        <w:rPr>
          <w:rFonts w:ascii="Calibri" w:hAnsi="Calibri"/>
          <w:b/>
          <w:sz w:val="18"/>
          <w:szCs w:val="18"/>
          <w:lang w:val="en-GB"/>
        </w:rPr>
        <w:t>Figures (optional)</w:t>
      </w:r>
    </w:p>
    <w:p w:rsidR="007A2035" w:rsidRPr="00503876" w:rsidRDefault="007A2035" w:rsidP="007A2035">
      <w:pPr>
        <w:numPr>
          <w:ilvl w:val="0"/>
          <w:numId w:val="2"/>
        </w:numPr>
        <w:ind w:left="72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 xml:space="preserve">Figure (graph) with trends of key performance and output indicators: </w:t>
      </w:r>
    </w:p>
    <w:p w:rsidR="007A2035" w:rsidRPr="00503876" w:rsidRDefault="007A2035" w:rsidP="007A2035">
      <w:pPr>
        <w:numPr>
          <w:ilvl w:val="1"/>
          <w:numId w:val="1"/>
        </w:numPr>
        <w:tabs>
          <w:tab w:val="left" w:pos="1440"/>
        </w:tabs>
        <w:ind w:left="144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u w:val="single"/>
          <w:lang w:val="en-GB"/>
        </w:rPr>
        <w:t>Bars</w:t>
      </w:r>
      <w:r w:rsidRPr="00503876">
        <w:rPr>
          <w:rFonts w:ascii="Calibri" w:hAnsi="Calibri"/>
          <w:bCs/>
          <w:sz w:val="18"/>
          <w:szCs w:val="18"/>
          <w:lang w:val="en-GB"/>
        </w:rPr>
        <w:t xml:space="preserve"> with new admissions, discharges, beneficiaries in treatment </w:t>
      </w:r>
    </w:p>
    <w:p w:rsidR="007A2035" w:rsidRPr="00503876" w:rsidRDefault="007A2035" w:rsidP="007A2035">
      <w:pPr>
        <w:numPr>
          <w:ilvl w:val="1"/>
          <w:numId w:val="1"/>
        </w:numPr>
        <w:tabs>
          <w:tab w:val="left" w:pos="1440"/>
        </w:tabs>
        <w:ind w:left="144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u w:val="single"/>
          <w:lang w:val="en-GB"/>
        </w:rPr>
        <w:t>Lines</w:t>
      </w:r>
      <w:r w:rsidRPr="00503876">
        <w:rPr>
          <w:rFonts w:ascii="Calibri" w:hAnsi="Calibri"/>
          <w:bCs/>
          <w:sz w:val="18"/>
          <w:szCs w:val="18"/>
          <w:lang w:val="en-GB"/>
        </w:rPr>
        <w:t xml:space="preserve"> for cured, died, defaulted and non-recovered rates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>Figure (graph) for monthly average LOS and average weight gain per category of admission criteria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 xml:space="preserve">Figure (pie chart) with distribution of admission criteria 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bCs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>Figure (pie chart) with distribution</w:t>
      </w:r>
      <w:r w:rsidRPr="00503876">
        <w:rPr>
          <w:rFonts w:ascii="Calibri" w:hAnsi="Calibri"/>
          <w:bCs/>
          <w:lang w:val="en-GB"/>
        </w:rPr>
        <w:t xml:space="preserve"> of discharge categories </w:t>
      </w:r>
    </w:p>
    <w:p w:rsidR="00B9291B" w:rsidRPr="007A2035" w:rsidRDefault="00B9291B">
      <w:pPr>
        <w:rPr>
          <w:lang w:val="en-GB"/>
        </w:rPr>
      </w:pPr>
    </w:p>
    <w:sectPr w:rsidR="00B9291B" w:rsidRPr="007A2035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14C" w:rsidRDefault="00A3514C" w:rsidP="00A3514C">
      <w:r>
        <w:separator/>
      </w:r>
    </w:p>
  </w:endnote>
  <w:endnote w:type="continuationSeparator" w:id="0">
    <w:p w:rsidR="00A3514C" w:rsidRDefault="00A3514C" w:rsidP="00A3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14C" w:rsidRDefault="00A3514C" w:rsidP="00A3514C">
      <w:r>
        <w:separator/>
      </w:r>
    </w:p>
  </w:footnote>
  <w:footnote w:type="continuationSeparator" w:id="0">
    <w:p w:rsidR="00A3514C" w:rsidRDefault="00A3514C" w:rsidP="00A3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14C" w:rsidRPr="003643B7" w:rsidRDefault="003643B7" w:rsidP="003643B7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35"/>
    <w:rsid w:val="0002109C"/>
    <w:rsid w:val="000A7FD0"/>
    <w:rsid w:val="001F3154"/>
    <w:rsid w:val="001F4F2B"/>
    <w:rsid w:val="00287962"/>
    <w:rsid w:val="003643B7"/>
    <w:rsid w:val="00466447"/>
    <w:rsid w:val="0047175E"/>
    <w:rsid w:val="00503876"/>
    <w:rsid w:val="00570C7D"/>
    <w:rsid w:val="006732FF"/>
    <w:rsid w:val="006E3490"/>
    <w:rsid w:val="00733069"/>
    <w:rsid w:val="007549CC"/>
    <w:rsid w:val="007746C4"/>
    <w:rsid w:val="007A2035"/>
    <w:rsid w:val="007F403A"/>
    <w:rsid w:val="00850F46"/>
    <w:rsid w:val="00881659"/>
    <w:rsid w:val="008F7CAB"/>
    <w:rsid w:val="009A018B"/>
    <w:rsid w:val="00A11C43"/>
    <w:rsid w:val="00A13648"/>
    <w:rsid w:val="00A3514C"/>
    <w:rsid w:val="00AA1072"/>
    <w:rsid w:val="00B9291B"/>
    <w:rsid w:val="00BF0514"/>
    <w:rsid w:val="00BF76B0"/>
    <w:rsid w:val="00CB37E2"/>
    <w:rsid w:val="00D34F09"/>
    <w:rsid w:val="00E01E25"/>
    <w:rsid w:val="00E25051"/>
    <w:rsid w:val="00F13062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7C81BB-C5BE-483C-9861-118FEA2E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035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3514C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4C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A35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514C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35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14C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A351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CMAM Narrative Report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2013-03-18T15:22:00Z</dcterms:created>
  <dcterms:modified xsi:type="dcterms:W3CDTF">2015-10-06T14:35:00Z</dcterms:modified>
</cp:coreProperties>
</file>